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EA4" w:rsidRDefault="00521EA4" w:rsidP="00521EA4">
      <w:pPr>
        <w:pStyle w:val="Heading1"/>
        <w:jc w:val="center"/>
        <w:rPr>
          <w:rFonts w:ascii="Arial" w:hAnsi="Arial" w:cs="Arial"/>
          <w:szCs w:val="24"/>
          <w:u w:val="none"/>
        </w:rPr>
      </w:pPr>
      <w:r>
        <w:rPr>
          <w:rFonts w:ascii="Arial" w:hAnsi="Arial" w:cs="Arial"/>
          <w:szCs w:val="24"/>
          <w:u w:val="none"/>
        </w:rPr>
        <w:t>CITY OF FORT LAUDERDALE FLORIDA</w:t>
      </w:r>
    </w:p>
    <w:p w:rsidR="00521EA4" w:rsidRDefault="00521EA4" w:rsidP="00521EA4">
      <w:pPr>
        <w:pStyle w:val="Heading1"/>
        <w:jc w:val="center"/>
        <w:rPr>
          <w:rFonts w:ascii="Arial" w:hAnsi="Arial" w:cs="Arial"/>
          <w:szCs w:val="24"/>
          <w:u w:val="none"/>
        </w:rPr>
      </w:pPr>
      <w:r>
        <w:rPr>
          <w:rFonts w:ascii="Arial" w:hAnsi="Arial" w:cs="Arial"/>
          <w:szCs w:val="24"/>
          <w:u w:val="none"/>
        </w:rPr>
        <w:t>FUEL PRICE RISK MANAGEMENT PROGRAM (FPRMP)</w:t>
      </w:r>
    </w:p>
    <w:p w:rsidR="00521EA4" w:rsidRPr="00097CF9" w:rsidRDefault="00521EA4" w:rsidP="00521EA4">
      <w:pPr>
        <w:pStyle w:val="Heading1"/>
        <w:ind w:left="360"/>
        <w:jc w:val="center"/>
        <w:rPr>
          <w:rFonts w:ascii="Arial" w:hAnsi="Arial" w:cs="Arial"/>
          <w:szCs w:val="24"/>
          <w:u w:val="none"/>
        </w:rPr>
      </w:pPr>
      <w:r>
        <w:rPr>
          <w:rFonts w:ascii="Arial" w:hAnsi="Arial" w:cs="Arial"/>
          <w:szCs w:val="24"/>
          <w:u w:val="none"/>
        </w:rPr>
        <w:t>QUARTERLY REPORT</w:t>
      </w:r>
      <w:r>
        <w:rPr>
          <w:rFonts w:ascii="Arial" w:hAnsi="Arial" w:cs="Arial"/>
          <w:szCs w:val="24"/>
          <w:u w:val="none"/>
        </w:rPr>
        <w:br/>
        <w:t>DECEMBER 31, 2020</w:t>
      </w:r>
    </w:p>
    <w:p w:rsidR="00521EA4" w:rsidRPr="006207D5" w:rsidRDefault="00521EA4" w:rsidP="00521EA4">
      <w:pPr>
        <w:pStyle w:val="Header"/>
        <w:rPr>
          <w:rFonts w:ascii="Arial" w:hAnsi="Arial" w:cs="Arial"/>
          <w:szCs w:val="24"/>
        </w:rPr>
      </w:pPr>
    </w:p>
    <w:p w:rsidR="00521EA4" w:rsidRPr="006207D5" w:rsidRDefault="00521EA4" w:rsidP="00521EA4">
      <w:pPr>
        <w:pStyle w:val="Heading1"/>
        <w:rPr>
          <w:rFonts w:ascii="Arial" w:hAnsi="Arial" w:cs="Arial"/>
          <w:szCs w:val="24"/>
        </w:rPr>
      </w:pPr>
      <w:r>
        <w:rPr>
          <w:rFonts w:ascii="Arial" w:hAnsi="Arial" w:cs="Arial"/>
          <w:szCs w:val="24"/>
        </w:rPr>
        <w:t>PROGRAM</w:t>
      </w:r>
    </w:p>
    <w:p w:rsidR="00521EA4" w:rsidRPr="004C51AF" w:rsidRDefault="00521EA4" w:rsidP="00521EA4">
      <w:pPr>
        <w:pStyle w:val="Header"/>
        <w:jc w:val="both"/>
        <w:rPr>
          <w:rFonts w:ascii="Arial" w:hAnsi="Arial" w:cs="Arial"/>
          <w:szCs w:val="24"/>
        </w:rPr>
      </w:pPr>
    </w:p>
    <w:p w:rsidR="00521EA4" w:rsidRDefault="00521EA4" w:rsidP="00521EA4">
      <w:pPr>
        <w:pStyle w:val="Header"/>
        <w:jc w:val="both"/>
        <w:rPr>
          <w:rFonts w:ascii="Arial" w:hAnsi="Arial" w:cs="Arial"/>
          <w:szCs w:val="24"/>
        </w:rPr>
      </w:pPr>
      <w:r w:rsidRPr="003A19B2">
        <w:rPr>
          <w:rFonts w:ascii="Arial" w:hAnsi="Arial" w:cs="Arial"/>
          <w:szCs w:val="24"/>
        </w:rPr>
        <w:t>The Fuel Price Risk Management Program (FPRMP)</w:t>
      </w:r>
      <w:r w:rsidRPr="004C51AF">
        <w:rPr>
          <w:rFonts w:ascii="Arial" w:hAnsi="Arial" w:cs="Arial"/>
          <w:szCs w:val="24"/>
        </w:rPr>
        <w:t xml:space="preserve"> is designed to minimize large budget variances resulting from the volatility of fuel prices. Hedging increases budget certainty and facilitates more effective utilization of budgetary resources. The purpose of the City’s FPRMP is not to speculate on the price of fuel but to manage risk, particularly as that relates to the City’s annual budget. The FPRMP is not an investment and should not be construed as such.  Cash flows produced or consumed by the FPRMP will be considered as an element of fuel cost.</w:t>
      </w:r>
      <w:r>
        <w:rPr>
          <w:rFonts w:ascii="Arial" w:hAnsi="Arial" w:cs="Arial"/>
          <w:szCs w:val="24"/>
        </w:rPr>
        <w:t xml:space="preserve"> </w:t>
      </w:r>
    </w:p>
    <w:p w:rsidR="00521EA4" w:rsidRDefault="00521EA4" w:rsidP="00521EA4">
      <w:pPr>
        <w:pStyle w:val="Header"/>
        <w:jc w:val="both"/>
        <w:rPr>
          <w:rFonts w:ascii="Arial" w:hAnsi="Arial" w:cs="Arial"/>
          <w:szCs w:val="24"/>
        </w:rPr>
      </w:pPr>
    </w:p>
    <w:p w:rsidR="00521EA4" w:rsidRDefault="00521EA4" w:rsidP="00521EA4">
      <w:pPr>
        <w:pStyle w:val="Header"/>
        <w:jc w:val="both"/>
        <w:rPr>
          <w:rFonts w:ascii="Arial" w:hAnsi="Arial" w:cs="Arial"/>
        </w:rPr>
      </w:pPr>
      <w:r w:rsidRPr="006207D5">
        <w:rPr>
          <w:rFonts w:ascii="Arial" w:hAnsi="Arial" w:cs="Arial"/>
          <w:szCs w:val="24"/>
        </w:rPr>
        <w:t xml:space="preserve">The </w:t>
      </w:r>
      <w:r>
        <w:rPr>
          <w:rFonts w:ascii="Arial" w:hAnsi="Arial" w:cs="Arial"/>
          <w:szCs w:val="24"/>
        </w:rPr>
        <w:t xml:space="preserve">FPRMP </w:t>
      </w:r>
      <w:r w:rsidRPr="006207D5">
        <w:rPr>
          <w:rFonts w:ascii="Arial" w:hAnsi="Arial" w:cs="Arial"/>
          <w:szCs w:val="24"/>
        </w:rPr>
        <w:t xml:space="preserve">requires that </w:t>
      </w:r>
      <w:r>
        <w:rPr>
          <w:rFonts w:ascii="Arial" w:hAnsi="Arial" w:cs="Arial"/>
          <w:szCs w:val="24"/>
        </w:rPr>
        <w:t xml:space="preserve">the Director of Finance </w:t>
      </w:r>
      <w:r w:rsidRPr="006207D5">
        <w:rPr>
          <w:rFonts w:ascii="Arial" w:hAnsi="Arial" w:cs="Arial"/>
          <w:szCs w:val="24"/>
        </w:rPr>
        <w:t xml:space="preserve">report compliance with the </w:t>
      </w:r>
      <w:r>
        <w:rPr>
          <w:rFonts w:ascii="Arial" w:hAnsi="Arial" w:cs="Arial"/>
          <w:szCs w:val="24"/>
        </w:rPr>
        <w:t>FPRMP</w:t>
      </w:r>
      <w:r w:rsidRPr="006207D5">
        <w:rPr>
          <w:rFonts w:ascii="Arial" w:hAnsi="Arial" w:cs="Arial"/>
          <w:szCs w:val="24"/>
        </w:rPr>
        <w:t xml:space="preserve"> and program performance to the </w:t>
      </w:r>
      <w:r>
        <w:rPr>
          <w:rFonts w:ascii="Arial" w:hAnsi="Arial" w:cs="Arial"/>
          <w:szCs w:val="24"/>
        </w:rPr>
        <w:t>City Manager and City Commission</w:t>
      </w:r>
      <w:r w:rsidRPr="006207D5">
        <w:rPr>
          <w:rFonts w:ascii="Arial" w:hAnsi="Arial" w:cs="Arial"/>
          <w:szCs w:val="24"/>
        </w:rPr>
        <w:t xml:space="preserve"> on a quarterly basis. </w:t>
      </w:r>
      <w:r>
        <w:rPr>
          <w:rFonts w:ascii="Arial" w:hAnsi="Arial" w:cs="Arial"/>
        </w:rPr>
        <w:t>This report is provided for the quarter ending December 31, 2020.</w:t>
      </w:r>
    </w:p>
    <w:p w:rsidR="00521EA4" w:rsidRPr="006207D5" w:rsidRDefault="00521EA4" w:rsidP="00521EA4">
      <w:pPr>
        <w:pStyle w:val="Heading1"/>
        <w:rPr>
          <w:rFonts w:ascii="Arial" w:hAnsi="Arial" w:cs="Arial"/>
          <w:szCs w:val="24"/>
        </w:rPr>
      </w:pPr>
    </w:p>
    <w:p w:rsidR="00521EA4" w:rsidRPr="006207D5" w:rsidRDefault="00521EA4" w:rsidP="00521EA4">
      <w:pPr>
        <w:pStyle w:val="Heading1"/>
        <w:rPr>
          <w:rFonts w:ascii="Arial" w:hAnsi="Arial" w:cs="Arial"/>
          <w:szCs w:val="24"/>
        </w:rPr>
      </w:pPr>
      <w:r w:rsidRPr="006207D5">
        <w:rPr>
          <w:rFonts w:ascii="Arial" w:hAnsi="Arial" w:cs="Arial"/>
          <w:szCs w:val="24"/>
        </w:rPr>
        <w:t>DISCUSSION</w:t>
      </w:r>
    </w:p>
    <w:p w:rsidR="00521EA4" w:rsidRPr="006207D5" w:rsidRDefault="00521EA4" w:rsidP="00521EA4">
      <w:pPr>
        <w:rPr>
          <w:rFonts w:ascii="Arial" w:hAnsi="Arial" w:cs="Arial"/>
          <w:szCs w:val="24"/>
        </w:rPr>
      </w:pPr>
    </w:p>
    <w:p w:rsidR="00521EA4" w:rsidRDefault="00521EA4" w:rsidP="00521EA4">
      <w:pPr>
        <w:rPr>
          <w:rFonts w:ascii="Arial" w:hAnsi="Arial" w:cs="Arial"/>
          <w:szCs w:val="24"/>
        </w:rPr>
      </w:pPr>
      <w:r w:rsidRPr="006207D5">
        <w:rPr>
          <w:rFonts w:ascii="Arial" w:hAnsi="Arial" w:cs="Arial"/>
          <w:szCs w:val="24"/>
        </w:rPr>
        <w:t xml:space="preserve">The purpose of this report is to present the status of compliance and performance for the </w:t>
      </w:r>
      <w:r>
        <w:rPr>
          <w:rFonts w:ascii="Arial" w:hAnsi="Arial" w:cs="Arial"/>
          <w:szCs w:val="24"/>
        </w:rPr>
        <w:t>FPRMP and how this compliance and performance affected the cost of petroleum fuels purchased and consumed by the City during the quarter.</w:t>
      </w:r>
    </w:p>
    <w:p w:rsidR="00521EA4" w:rsidRPr="006207D5" w:rsidRDefault="00521EA4" w:rsidP="00521EA4">
      <w:pPr>
        <w:rPr>
          <w:rFonts w:ascii="Arial" w:hAnsi="Arial" w:cs="Arial"/>
          <w:szCs w:val="24"/>
        </w:rPr>
      </w:pPr>
    </w:p>
    <w:p w:rsidR="00521EA4" w:rsidRPr="006207D5" w:rsidRDefault="00521EA4" w:rsidP="00521EA4">
      <w:pPr>
        <w:tabs>
          <w:tab w:val="clear" w:pos="360"/>
        </w:tabs>
        <w:rPr>
          <w:rFonts w:ascii="Arial" w:hAnsi="Arial" w:cs="Arial"/>
          <w:b/>
          <w:szCs w:val="24"/>
          <w:u w:val="single"/>
        </w:rPr>
      </w:pPr>
      <w:r w:rsidRPr="006207D5">
        <w:rPr>
          <w:rFonts w:ascii="Arial" w:hAnsi="Arial" w:cs="Arial"/>
          <w:b/>
          <w:szCs w:val="24"/>
          <w:u w:val="single"/>
        </w:rPr>
        <w:t>COMPLIANCE</w:t>
      </w:r>
    </w:p>
    <w:p w:rsidR="00521EA4" w:rsidRPr="006207D5" w:rsidRDefault="00521EA4" w:rsidP="00521EA4">
      <w:pPr>
        <w:rPr>
          <w:rFonts w:ascii="Arial" w:hAnsi="Arial" w:cs="Arial"/>
          <w:szCs w:val="24"/>
        </w:rPr>
      </w:pPr>
    </w:p>
    <w:p w:rsidR="00521EA4" w:rsidRDefault="00521EA4" w:rsidP="00521EA4">
      <w:pPr>
        <w:jc w:val="both"/>
        <w:rPr>
          <w:rFonts w:ascii="Arial" w:hAnsi="Arial" w:cs="Arial"/>
          <w:szCs w:val="24"/>
        </w:rPr>
      </w:pPr>
      <w:r w:rsidRPr="006207D5">
        <w:rPr>
          <w:rFonts w:ascii="Arial" w:hAnsi="Arial" w:cs="Arial"/>
          <w:szCs w:val="24"/>
        </w:rPr>
        <w:t xml:space="preserve">As of the date of this report the </w:t>
      </w:r>
      <w:r>
        <w:rPr>
          <w:rFonts w:ascii="Arial" w:hAnsi="Arial" w:cs="Arial"/>
          <w:szCs w:val="24"/>
        </w:rPr>
        <w:t>FPRMP</w:t>
      </w:r>
      <w:r w:rsidRPr="006207D5">
        <w:rPr>
          <w:rFonts w:ascii="Arial" w:hAnsi="Arial" w:cs="Arial"/>
          <w:szCs w:val="24"/>
        </w:rPr>
        <w:t xml:space="preserve"> is in compliance with all the specified limitations and requirements</w:t>
      </w:r>
      <w:r>
        <w:rPr>
          <w:rFonts w:ascii="Arial" w:hAnsi="Arial" w:cs="Arial"/>
          <w:szCs w:val="24"/>
        </w:rPr>
        <w:t xml:space="preserve"> as set forth in the FPRMP guidelines</w:t>
      </w:r>
      <w:r w:rsidRPr="006207D5">
        <w:rPr>
          <w:rFonts w:ascii="Arial" w:hAnsi="Arial" w:cs="Arial"/>
          <w:szCs w:val="24"/>
        </w:rPr>
        <w:t>.</w:t>
      </w:r>
    </w:p>
    <w:p w:rsidR="00521EA4" w:rsidRDefault="00521EA4" w:rsidP="00521EA4">
      <w:pPr>
        <w:pStyle w:val="ListParagraph"/>
        <w:numPr>
          <w:ilvl w:val="0"/>
          <w:numId w:val="2"/>
        </w:numPr>
        <w:jc w:val="both"/>
        <w:rPr>
          <w:rFonts w:ascii="Arial" w:hAnsi="Arial" w:cs="Arial"/>
          <w:szCs w:val="24"/>
        </w:rPr>
      </w:pPr>
      <w:r w:rsidRPr="0029431F">
        <w:rPr>
          <w:rFonts w:ascii="Arial" w:hAnsi="Arial" w:cs="Arial"/>
          <w:b/>
          <w:szCs w:val="24"/>
        </w:rPr>
        <w:t xml:space="preserve">Maximum </w:t>
      </w:r>
      <w:r>
        <w:rPr>
          <w:rFonts w:ascii="Arial" w:hAnsi="Arial" w:cs="Arial"/>
          <w:b/>
          <w:szCs w:val="24"/>
        </w:rPr>
        <w:t xml:space="preserve">Allowed </w:t>
      </w:r>
      <w:r w:rsidRPr="0029431F">
        <w:rPr>
          <w:rFonts w:ascii="Arial" w:hAnsi="Arial" w:cs="Arial"/>
          <w:b/>
          <w:szCs w:val="24"/>
        </w:rPr>
        <w:t xml:space="preserve">Hedge Maturity is 18 months </w:t>
      </w:r>
      <w:r>
        <w:rPr>
          <w:rFonts w:ascii="Arial" w:hAnsi="Arial" w:cs="Arial"/>
          <w:szCs w:val="24"/>
        </w:rPr>
        <w:t>– the FPRMP is currently in compliance with this parameter.  Current diesel fuel and gasoline hedging extends from January 2021 through May 2022.</w:t>
      </w:r>
    </w:p>
    <w:p w:rsidR="00521EA4" w:rsidRPr="0029431F" w:rsidRDefault="00521EA4" w:rsidP="00521EA4">
      <w:pPr>
        <w:pStyle w:val="ListParagraph"/>
        <w:numPr>
          <w:ilvl w:val="0"/>
          <w:numId w:val="2"/>
        </w:numPr>
        <w:jc w:val="both"/>
        <w:rPr>
          <w:rFonts w:ascii="Arial" w:hAnsi="Arial" w:cs="Arial"/>
          <w:b/>
          <w:szCs w:val="24"/>
        </w:rPr>
      </w:pPr>
      <w:r w:rsidRPr="0029431F">
        <w:rPr>
          <w:rFonts w:ascii="Arial" w:hAnsi="Arial" w:cs="Arial"/>
          <w:b/>
          <w:szCs w:val="24"/>
        </w:rPr>
        <w:t xml:space="preserve">Maximum Allowed Percentage Hedged is 85% - </w:t>
      </w:r>
      <w:r>
        <w:rPr>
          <w:rFonts w:ascii="Arial" w:hAnsi="Arial" w:cs="Arial"/>
          <w:szCs w:val="24"/>
        </w:rPr>
        <w:t xml:space="preserve">the FPRMP is currently in compliance with this parameter. </w:t>
      </w:r>
    </w:p>
    <w:p w:rsidR="00521EA4" w:rsidRPr="0029431F" w:rsidRDefault="00521EA4" w:rsidP="00521EA4">
      <w:pPr>
        <w:jc w:val="both"/>
        <w:rPr>
          <w:rFonts w:ascii="Arial" w:hAnsi="Arial" w:cs="Arial"/>
          <w:b/>
          <w:szCs w:val="24"/>
        </w:rPr>
      </w:pPr>
      <w:r w:rsidRPr="0029431F">
        <w:rPr>
          <w:rFonts w:ascii="Arial" w:hAnsi="Arial" w:cs="Arial"/>
          <w:szCs w:val="24"/>
        </w:rPr>
        <w:t xml:space="preserve"> </w:t>
      </w:r>
    </w:p>
    <w:tbl>
      <w:tblPr>
        <w:tblStyle w:val="TableGrid"/>
        <w:tblW w:w="0" w:type="auto"/>
        <w:tblLook w:val="04A0" w:firstRow="1" w:lastRow="0" w:firstColumn="1" w:lastColumn="0" w:noHBand="0" w:noVBand="1"/>
      </w:tblPr>
      <w:tblGrid>
        <w:gridCol w:w="1544"/>
        <w:gridCol w:w="1631"/>
        <w:gridCol w:w="1544"/>
        <w:gridCol w:w="1544"/>
      </w:tblGrid>
      <w:tr w:rsidR="00521EA4" w:rsidRPr="00383DDC" w:rsidTr="009810A7">
        <w:trPr>
          <w:trHeight w:val="338"/>
        </w:trPr>
        <w:tc>
          <w:tcPr>
            <w:tcW w:w="1544" w:type="dxa"/>
            <w:noWrap/>
            <w:hideMark/>
          </w:tcPr>
          <w:p w:rsidR="00521EA4" w:rsidRPr="00383DDC" w:rsidRDefault="00521EA4" w:rsidP="009810A7">
            <w:pPr>
              <w:jc w:val="both"/>
              <w:rPr>
                <w:rFonts w:ascii="Arial" w:hAnsi="Arial" w:cs="Arial"/>
                <w:szCs w:val="24"/>
              </w:rPr>
            </w:pPr>
          </w:p>
        </w:tc>
        <w:tc>
          <w:tcPr>
            <w:tcW w:w="1631" w:type="dxa"/>
          </w:tcPr>
          <w:p w:rsidR="00521EA4" w:rsidRPr="00383DDC" w:rsidDel="00EA6E0F" w:rsidRDefault="00521EA4" w:rsidP="009810A7">
            <w:pPr>
              <w:jc w:val="both"/>
              <w:rPr>
                <w:rFonts w:ascii="Arial" w:hAnsi="Arial" w:cs="Arial"/>
                <w:b/>
                <w:bCs/>
                <w:szCs w:val="24"/>
              </w:rPr>
            </w:pPr>
            <w:r w:rsidRPr="00383DDC">
              <w:rPr>
                <w:rFonts w:ascii="Arial" w:hAnsi="Arial" w:cs="Arial"/>
                <w:b/>
                <w:bCs/>
                <w:szCs w:val="24"/>
              </w:rPr>
              <w:t>Fiscal Year 202</w:t>
            </w:r>
            <w:r>
              <w:rPr>
                <w:rFonts w:ascii="Arial" w:hAnsi="Arial" w:cs="Arial"/>
                <w:b/>
                <w:bCs/>
                <w:szCs w:val="24"/>
              </w:rPr>
              <w:t>1</w:t>
            </w:r>
          </w:p>
        </w:tc>
        <w:tc>
          <w:tcPr>
            <w:tcW w:w="1544" w:type="dxa"/>
          </w:tcPr>
          <w:p w:rsidR="00521EA4" w:rsidRPr="00383DDC" w:rsidDel="00EA6E0F" w:rsidRDefault="00521EA4" w:rsidP="009810A7">
            <w:pPr>
              <w:jc w:val="both"/>
              <w:rPr>
                <w:rFonts w:ascii="Arial" w:hAnsi="Arial" w:cs="Arial"/>
                <w:b/>
                <w:bCs/>
                <w:szCs w:val="24"/>
              </w:rPr>
            </w:pPr>
            <w:r w:rsidRPr="00383DDC">
              <w:rPr>
                <w:rFonts w:ascii="Arial" w:hAnsi="Arial" w:cs="Arial"/>
                <w:b/>
                <w:bCs/>
                <w:szCs w:val="24"/>
              </w:rPr>
              <w:t>Fiscal Year 202</w:t>
            </w:r>
            <w:r>
              <w:rPr>
                <w:rFonts w:ascii="Arial" w:hAnsi="Arial" w:cs="Arial"/>
                <w:b/>
                <w:bCs/>
                <w:szCs w:val="24"/>
              </w:rPr>
              <w:t>2</w:t>
            </w:r>
          </w:p>
        </w:tc>
        <w:tc>
          <w:tcPr>
            <w:tcW w:w="1544" w:type="dxa"/>
            <w:noWrap/>
          </w:tcPr>
          <w:p w:rsidR="00521EA4" w:rsidRPr="00383DDC" w:rsidRDefault="00521EA4" w:rsidP="009810A7">
            <w:pPr>
              <w:jc w:val="both"/>
              <w:rPr>
                <w:rFonts w:ascii="Arial" w:hAnsi="Arial" w:cs="Arial"/>
                <w:b/>
                <w:bCs/>
                <w:szCs w:val="24"/>
              </w:rPr>
            </w:pPr>
          </w:p>
        </w:tc>
      </w:tr>
      <w:tr w:rsidR="00521EA4" w:rsidRPr="00383DDC" w:rsidTr="009810A7">
        <w:trPr>
          <w:trHeight w:val="338"/>
        </w:trPr>
        <w:tc>
          <w:tcPr>
            <w:tcW w:w="1544" w:type="dxa"/>
            <w:noWrap/>
            <w:hideMark/>
          </w:tcPr>
          <w:p w:rsidR="00521EA4" w:rsidRPr="00383DDC" w:rsidRDefault="00521EA4" w:rsidP="009810A7">
            <w:pPr>
              <w:jc w:val="both"/>
              <w:rPr>
                <w:rFonts w:ascii="Arial" w:hAnsi="Arial" w:cs="Arial"/>
                <w:b/>
                <w:bCs/>
                <w:szCs w:val="24"/>
              </w:rPr>
            </w:pPr>
            <w:r w:rsidRPr="00383DDC">
              <w:rPr>
                <w:rFonts w:ascii="Arial" w:hAnsi="Arial" w:cs="Arial"/>
                <w:b/>
                <w:bCs/>
                <w:szCs w:val="24"/>
              </w:rPr>
              <w:t>Diesel</w:t>
            </w:r>
          </w:p>
        </w:tc>
        <w:tc>
          <w:tcPr>
            <w:tcW w:w="1631" w:type="dxa"/>
          </w:tcPr>
          <w:p w:rsidR="00521EA4" w:rsidRPr="00383DDC" w:rsidDel="00EA6E0F" w:rsidRDefault="00521EA4" w:rsidP="009810A7">
            <w:pPr>
              <w:jc w:val="both"/>
              <w:rPr>
                <w:rFonts w:ascii="Arial" w:hAnsi="Arial" w:cs="Arial"/>
                <w:szCs w:val="24"/>
              </w:rPr>
            </w:pPr>
            <w:r>
              <w:rPr>
                <w:rFonts w:ascii="Arial" w:hAnsi="Arial" w:cs="Arial"/>
                <w:szCs w:val="24"/>
              </w:rPr>
              <w:t>69</w:t>
            </w:r>
            <w:r w:rsidRPr="00383DDC">
              <w:rPr>
                <w:rFonts w:ascii="Arial" w:hAnsi="Arial" w:cs="Arial"/>
                <w:szCs w:val="24"/>
              </w:rPr>
              <w:t>%</w:t>
            </w:r>
          </w:p>
        </w:tc>
        <w:tc>
          <w:tcPr>
            <w:tcW w:w="1544" w:type="dxa"/>
          </w:tcPr>
          <w:p w:rsidR="00521EA4" w:rsidRPr="00383DDC" w:rsidDel="00EA6E0F" w:rsidRDefault="00521EA4" w:rsidP="009810A7">
            <w:pPr>
              <w:jc w:val="both"/>
              <w:rPr>
                <w:rFonts w:ascii="Arial" w:hAnsi="Arial" w:cs="Arial"/>
                <w:szCs w:val="24"/>
              </w:rPr>
            </w:pPr>
            <w:r>
              <w:rPr>
                <w:rFonts w:ascii="Arial" w:hAnsi="Arial" w:cs="Arial"/>
                <w:szCs w:val="24"/>
              </w:rPr>
              <w:t>62</w:t>
            </w:r>
            <w:r w:rsidRPr="00383DDC">
              <w:rPr>
                <w:rFonts w:ascii="Arial" w:hAnsi="Arial" w:cs="Arial"/>
                <w:szCs w:val="24"/>
              </w:rPr>
              <w:t>%</w:t>
            </w:r>
          </w:p>
        </w:tc>
        <w:tc>
          <w:tcPr>
            <w:tcW w:w="1544" w:type="dxa"/>
            <w:noWrap/>
          </w:tcPr>
          <w:p w:rsidR="00521EA4" w:rsidRPr="00383DDC" w:rsidRDefault="00521EA4" w:rsidP="009810A7">
            <w:pPr>
              <w:jc w:val="both"/>
              <w:rPr>
                <w:rFonts w:ascii="Arial" w:hAnsi="Arial" w:cs="Arial"/>
                <w:szCs w:val="24"/>
              </w:rPr>
            </w:pPr>
          </w:p>
        </w:tc>
      </w:tr>
      <w:tr w:rsidR="00521EA4" w:rsidRPr="00383DDC" w:rsidTr="009810A7">
        <w:trPr>
          <w:trHeight w:val="338"/>
        </w:trPr>
        <w:tc>
          <w:tcPr>
            <w:tcW w:w="1544" w:type="dxa"/>
            <w:noWrap/>
            <w:hideMark/>
          </w:tcPr>
          <w:p w:rsidR="00521EA4" w:rsidRPr="00383DDC" w:rsidRDefault="00521EA4" w:rsidP="009810A7">
            <w:pPr>
              <w:jc w:val="both"/>
              <w:rPr>
                <w:rFonts w:ascii="Arial" w:hAnsi="Arial" w:cs="Arial"/>
                <w:b/>
                <w:bCs/>
                <w:szCs w:val="24"/>
              </w:rPr>
            </w:pPr>
            <w:r w:rsidRPr="00383DDC">
              <w:rPr>
                <w:rFonts w:ascii="Arial" w:hAnsi="Arial" w:cs="Arial"/>
                <w:b/>
                <w:bCs/>
                <w:szCs w:val="24"/>
              </w:rPr>
              <w:t>Gasoline</w:t>
            </w:r>
          </w:p>
        </w:tc>
        <w:tc>
          <w:tcPr>
            <w:tcW w:w="1631" w:type="dxa"/>
          </w:tcPr>
          <w:p w:rsidR="00521EA4" w:rsidRPr="00383DDC" w:rsidDel="00EA6E0F" w:rsidRDefault="00521EA4" w:rsidP="009810A7">
            <w:pPr>
              <w:jc w:val="both"/>
              <w:rPr>
                <w:rFonts w:ascii="Arial" w:hAnsi="Arial" w:cs="Arial"/>
                <w:szCs w:val="24"/>
              </w:rPr>
            </w:pPr>
            <w:r>
              <w:rPr>
                <w:rFonts w:ascii="Arial" w:hAnsi="Arial" w:cs="Arial"/>
                <w:szCs w:val="24"/>
              </w:rPr>
              <w:t>83</w:t>
            </w:r>
            <w:r w:rsidRPr="00383DDC">
              <w:rPr>
                <w:rFonts w:ascii="Arial" w:hAnsi="Arial" w:cs="Arial"/>
                <w:szCs w:val="24"/>
              </w:rPr>
              <w:t>%</w:t>
            </w:r>
          </w:p>
        </w:tc>
        <w:tc>
          <w:tcPr>
            <w:tcW w:w="1544" w:type="dxa"/>
          </w:tcPr>
          <w:p w:rsidR="00521EA4" w:rsidRPr="00383DDC" w:rsidDel="00EA6E0F" w:rsidRDefault="00521EA4" w:rsidP="009810A7">
            <w:pPr>
              <w:jc w:val="both"/>
              <w:rPr>
                <w:rFonts w:ascii="Arial" w:hAnsi="Arial" w:cs="Arial"/>
                <w:szCs w:val="24"/>
              </w:rPr>
            </w:pPr>
            <w:r>
              <w:rPr>
                <w:rFonts w:ascii="Arial" w:hAnsi="Arial" w:cs="Arial"/>
                <w:szCs w:val="24"/>
              </w:rPr>
              <w:t>55</w:t>
            </w:r>
            <w:r w:rsidRPr="00383DDC">
              <w:rPr>
                <w:rFonts w:ascii="Arial" w:hAnsi="Arial" w:cs="Arial"/>
                <w:szCs w:val="24"/>
              </w:rPr>
              <w:t>%</w:t>
            </w:r>
          </w:p>
        </w:tc>
        <w:tc>
          <w:tcPr>
            <w:tcW w:w="1544" w:type="dxa"/>
            <w:noWrap/>
          </w:tcPr>
          <w:p w:rsidR="00521EA4" w:rsidRPr="00383DDC" w:rsidRDefault="00521EA4" w:rsidP="009810A7">
            <w:pPr>
              <w:jc w:val="both"/>
              <w:rPr>
                <w:rFonts w:ascii="Arial" w:hAnsi="Arial" w:cs="Arial"/>
                <w:szCs w:val="24"/>
              </w:rPr>
            </w:pPr>
          </w:p>
        </w:tc>
      </w:tr>
    </w:tbl>
    <w:p w:rsidR="00521EA4" w:rsidRPr="0029431F" w:rsidRDefault="00521EA4" w:rsidP="00521EA4">
      <w:pPr>
        <w:jc w:val="both"/>
        <w:rPr>
          <w:rFonts w:ascii="Arial" w:hAnsi="Arial" w:cs="Arial"/>
          <w:b/>
          <w:szCs w:val="24"/>
        </w:rPr>
      </w:pPr>
    </w:p>
    <w:p w:rsidR="00521EA4" w:rsidRPr="006207D5" w:rsidRDefault="00521EA4" w:rsidP="00521EA4">
      <w:pPr>
        <w:jc w:val="both"/>
        <w:rPr>
          <w:rFonts w:ascii="Arial" w:hAnsi="Arial" w:cs="Arial"/>
          <w:szCs w:val="24"/>
        </w:rPr>
      </w:pPr>
    </w:p>
    <w:p w:rsidR="00521EA4" w:rsidRDefault="00521EA4" w:rsidP="00521EA4">
      <w:pPr>
        <w:jc w:val="both"/>
        <w:rPr>
          <w:rFonts w:ascii="Arial" w:hAnsi="Arial" w:cs="Arial"/>
          <w:b/>
          <w:szCs w:val="24"/>
          <w:u w:val="single"/>
        </w:rPr>
      </w:pPr>
    </w:p>
    <w:p w:rsidR="00521EA4" w:rsidRDefault="00521EA4" w:rsidP="00521EA4">
      <w:pPr>
        <w:jc w:val="both"/>
        <w:rPr>
          <w:rFonts w:ascii="Arial" w:hAnsi="Arial" w:cs="Arial"/>
          <w:b/>
          <w:szCs w:val="24"/>
          <w:u w:val="single"/>
        </w:rPr>
      </w:pPr>
    </w:p>
    <w:p w:rsidR="00521EA4" w:rsidRDefault="00521EA4" w:rsidP="00521EA4">
      <w:pPr>
        <w:jc w:val="both"/>
        <w:rPr>
          <w:rFonts w:ascii="Arial" w:hAnsi="Arial" w:cs="Arial"/>
          <w:b/>
          <w:szCs w:val="24"/>
          <w:u w:val="single"/>
        </w:rPr>
      </w:pPr>
    </w:p>
    <w:p w:rsidR="00521EA4" w:rsidRDefault="00521EA4" w:rsidP="00521EA4">
      <w:pPr>
        <w:jc w:val="both"/>
        <w:rPr>
          <w:rFonts w:ascii="Arial" w:hAnsi="Arial" w:cs="Arial"/>
          <w:b/>
          <w:szCs w:val="24"/>
          <w:u w:val="single"/>
        </w:rPr>
      </w:pPr>
    </w:p>
    <w:p w:rsidR="00521EA4" w:rsidRDefault="00521EA4" w:rsidP="00521EA4">
      <w:pPr>
        <w:jc w:val="both"/>
        <w:rPr>
          <w:rFonts w:ascii="Arial" w:hAnsi="Arial" w:cs="Arial"/>
          <w:b/>
          <w:szCs w:val="24"/>
          <w:u w:val="single"/>
        </w:rPr>
      </w:pPr>
    </w:p>
    <w:p w:rsidR="00521EA4" w:rsidRPr="006207D5" w:rsidRDefault="00521EA4" w:rsidP="00521EA4">
      <w:pPr>
        <w:jc w:val="both"/>
        <w:rPr>
          <w:rFonts w:ascii="Arial" w:hAnsi="Arial" w:cs="Arial"/>
          <w:b/>
          <w:szCs w:val="24"/>
          <w:u w:val="single"/>
        </w:rPr>
      </w:pPr>
      <w:bookmarkStart w:id="0" w:name="_GoBack"/>
      <w:bookmarkEnd w:id="0"/>
      <w:r w:rsidRPr="006207D5">
        <w:rPr>
          <w:rFonts w:ascii="Arial" w:hAnsi="Arial" w:cs="Arial"/>
          <w:b/>
          <w:szCs w:val="24"/>
          <w:u w:val="single"/>
        </w:rPr>
        <w:lastRenderedPageBreak/>
        <w:t>PERFORMANCE</w:t>
      </w:r>
    </w:p>
    <w:p w:rsidR="00521EA4" w:rsidRPr="006207D5" w:rsidRDefault="00521EA4" w:rsidP="00521EA4">
      <w:pPr>
        <w:jc w:val="both"/>
        <w:rPr>
          <w:rFonts w:ascii="Arial" w:hAnsi="Arial" w:cs="Arial"/>
          <w:szCs w:val="24"/>
        </w:rPr>
      </w:pPr>
    </w:p>
    <w:p w:rsidR="00521EA4" w:rsidRPr="00771143" w:rsidRDefault="00521EA4" w:rsidP="00521EA4">
      <w:pPr>
        <w:jc w:val="both"/>
        <w:rPr>
          <w:rFonts w:ascii="Arial" w:hAnsi="Arial" w:cs="Arial"/>
          <w:b/>
          <w:szCs w:val="24"/>
          <w:u w:val="single"/>
        </w:rPr>
      </w:pPr>
      <w:r>
        <w:rPr>
          <w:rFonts w:ascii="Arial" w:hAnsi="Arial" w:cs="Arial"/>
          <w:b/>
          <w:szCs w:val="24"/>
          <w:u w:val="single"/>
        </w:rPr>
        <w:t>First</w:t>
      </w:r>
      <w:r w:rsidRPr="00771143">
        <w:rPr>
          <w:rFonts w:ascii="Arial" w:hAnsi="Arial" w:cs="Arial"/>
          <w:b/>
          <w:szCs w:val="24"/>
          <w:u w:val="single"/>
        </w:rPr>
        <w:t xml:space="preserve"> Quarter FY 20</w:t>
      </w:r>
      <w:r>
        <w:rPr>
          <w:rFonts w:ascii="Arial" w:hAnsi="Arial" w:cs="Arial"/>
          <w:b/>
          <w:szCs w:val="24"/>
          <w:u w:val="single"/>
        </w:rPr>
        <w:t>21</w:t>
      </w:r>
    </w:p>
    <w:p w:rsidR="00521EA4" w:rsidRDefault="00521EA4" w:rsidP="00521EA4">
      <w:pPr>
        <w:jc w:val="both"/>
        <w:rPr>
          <w:rFonts w:ascii="Arial" w:hAnsi="Arial" w:cs="Arial"/>
          <w:szCs w:val="24"/>
        </w:rPr>
      </w:pPr>
    </w:p>
    <w:p w:rsidR="00521EA4" w:rsidRDefault="00521EA4" w:rsidP="00521EA4">
      <w:pPr>
        <w:jc w:val="both"/>
        <w:rPr>
          <w:rFonts w:ascii="Arial" w:hAnsi="Arial" w:cs="Arial"/>
          <w:szCs w:val="24"/>
        </w:rPr>
      </w:pPr>
      <w:r w:rsidRPr="00E14220">
        <w:rPr>
          <w:rFonts w:ascii="Arial" w:hAnsi="Arial" w:cs="Arial"/>
          <w:szCs w:val="24"/>
        </w:rPr>
        <w:t xml:space="preserve">During the </w:t>
      </w:r>
      <w:r w:rsidRPr="009810A7">
        <w:rPr>
          <w:rFonts w:ascii="Arial" w:hAnsi="Arial" w:cs="Arial"/>
          <w:szCs w:val="24"/>
        </w:rPr>
        <w:t>f</w:t>
      </w:r>
      <w:r>
        <w:rPr>
          <w:rFonts w:ascii="Arial" w:hAnsi="Arial" w:cs="Arial"/>
          <w:szCs w:val="24"/>
        </w:rPr>
        <w:t>irst</w:t>
      </w:r>
      <w:r w:rsidRPr="00E14220">
        <w:rPr>
          <w:rFonts w:ascii="Arial" w:hAnsi="Arial" w:cs="Arial"/>
          <w:szCs w:val="24"/>
        </w:rPr>
        <w:t xml:space="preserve"> quarter</w:t>
      </w:r>
      <w:r>
        <w:rPr>
          <w:rFonts w:ascii="Arial" w:hAnsi="Arial" w:cs="Arial"/>
          <w:szCs w:val="24"/>
        </w:rPr>
        <w:t>, petroleum fuel costs not including hedging were $1.72 per gallon.  Net of hedging, the fuel cost was $1.75 per gallon vs. a weighted average budgeted cost for diesel and gasoline for FY 2021 of $1.87 per gallon.  Actual volume consumed for the quarter was about 46,000 gallons less than budgeted.  The lower than budgeted price and lower than budgeted volume consumption caused a positive budget variance for the quarter of approximately $124,000 including the effect of the hedge.</w:t>
      </w:r>
    </w:p>
    <w:p w:rsidR="00521EA4" w:rsidRDefault="00521EA4" w:rsidP="00521EA4">
      <w:pPr>
        <w:jc w:val="both"/>
        <w:rPr>
          <w:rFonts w:ascii="Arial" w:hAnsi="Arial" w:cs="Arial"/>
          <w:szCs w:val="24"/>
        </w:rPr>
      </w:pPr>
    </w:p>
    <w:p w:rsidR="00521EA4" w:rsidRDefault="00521EA4" w:rsidP="00521EA4">
      <w:pPr>
        <w:jc w:val="both"/>
        <w:rPr>
          <w:rFonts w:ascii="Arial" w:hAnsi="Arial" w:cs="Arial"/>
          <w:szCs w:val="24"/>
        </w:rPr>
      </w:pPr>
      <w:r w:rsidRPr="0009018C">
        <w:rPr>
          <w:rFonts w:ascii="Arial" w:hAnsi="Arial" w:cs="Arial"/>
          <w:szCs w:val="24"/>
        </w:rPr>
        <w:t xml:space="preserve">During the </w:t>
      </w:r>
      <w:r w:rsidRPr="009810A7">
        <w:rPr>
          <w:rFonts w:ascii="Arial" w:hAnsi="Arial" w:cs="Arial"/>
          <w:szCs w:val="24"/>
        </w:rPr>
        <w:t>f</w:t>
      </w:r>
      <w:r>
        <w:rPr>
          <w:rFonts w:ascii="Arial" w:hAnsi="Arial" w:cs="Arial"/>
          <w:szCs w:val="24"/>
        </w:rPr>
        <w:t>irst</w:t>
      </w:r>
      <w:r w:rsidRPr="009810A7">
        <w:rPr>
          <w:rFonts w:ascii="Arial" w:hAnsi="Arial" w:cs="Arial"/>
          <w:szCs w:val="24"/>
        </w:rPr>
        <w:t xml:space="preserve"> </w:t>
      </w:r>
      <w:r w:rsidRPr="0009018C">
        <w:rPr>
          <w:rFonts w:ascii="Arial" w:hAnsi="Arial" w:cs="Arial"/>
          <w:szCs w:val="24"/>
        </w:rPr>
        <w:t>quarter,</w:t>
      </w:r>
      <w:r>
        <w:rPr>
          <w:rFonts w:ascii="Arial" w:hAnsi="Arial" w:cs="Arial"/>
          <w:szCs w:val="24"/>
        </w:rPr>
        <w:t xml:space="preserve"> the FPRMP produced a positive fuel cost (hedging realized loss) of approximately $7,750 or approximately $0.03 per gallon.</w:t>
      </w:r>
    </w:p>
    <w:p w:rsidR="00521EA4" w:rsidRDefault="00521EA4" w:rsidP="00521EA4">
      <w:pPr>
        <w:jc w:val="both"/>
        <w:rPr>
          <w:rFonts w:ascii="Arial" w:hAnsi="Arial" w:cs="Arial"/>
          <w:szCs w:val="24"/>
        </w:rPr>
      </w:pPr>
    </w:p>
    <w:p w:rsidR="00521EA4" w:rsidRDefault="00521EA4" w:rsidP="00521EA4">
      <w:pPr>
        <w:jc w:val="both"/>
        <w:rPr>
          <w:rFonts w:ascii="Arial" w:hAnsi="Arial" w:cs="Arial"/>
          <w:b/>
          <w:szCs w:val="24"/>
          <w:u w:val="single"/>
        </w:rPr>
      </w:pPr>
      <w:r>
        <w:rPr>
          <w:rFonts w:ascii="Arial" w:hAnsi="Arial" w:cs="Arial"/>
          <w:b/>
          <w:szCs w:val="24"/>
          <w:u w:val="single"/>
        </w:rPr>
        <w:t>Prospective</w:t>
      </w:r>
    </w:p>
    <w:p w:rsidR="00521EA4" w:rsidRDefault="00521EA4" w:rsidP="00521EA4">
      <w:pPr>
        <w:jc w:val="both"/>
        <w:rPr>
          <w:rFonts w:ascii="Arial" w:hAnsi="Arial" w:cs="Arial"/>
          <w:b/>
          <w:szCs w:val="24"/>
          <w:u w:val="single"/>
        </w:rPr>
      </w:pPr>
    </w:p>
    <w:p w:rsidR="00521EA4" w:rsidRPr="00FC1DC9" w:rsidRDefault="00521EA4" w:rsidP="00521EA4">
      <w:pPr>
        <w:jc w:val="both"/>
        <w:rPr>
          <w:rFonts w:ascii="Arial" w:hAnsi="Arial" w:cs="Arial"/>
          <w:szCs w:val="24"/>
        </w:rPr>
      </w:pPr>
      <w:r>
        <w:rPr>
          <w:rFonts w:ascii="Arial" w:hAnsi="Arial" w:cs="Arial"/>
          <w:szCs w:val="24"/>
        </w:rPr>
        <w:t>As of December 31</w:t>
      </w:r>
      <w:r w:rsidRPr="009810A7">
        <w:rPr>
          <w:rFonts w:ascii="Arial" w:hAnsi="Arial" w:cs="Arial"/>
          <w:szCs w:val="24"/>
          <w:vertAlign w:val="superscript"/>
        </w:rPr>
        <w:t>st</w:t>
      </w:r>
      <w:r>
        <w:rPr>
          <w:rFonts w:ascii="Arial" w:hAnsi="Arial" w:cs="Arial"/>
          <w:szCs w:val="24"/>
        </w:rPr>
        <w:t>, there was an unrealized gain (contingent future negative fuel cost) of $119,529.90 that corresponds to the time period January 2021 through May 2022.  This is an unrealized gain of about $0.06 per gallon on average for the remainder of FY 2021 and the first portion of FY 2022 for diesel and gasoline combined.</w:t>
      </w:r>
    </w:p>
    <w:p w:rsidR="00521EA4" w:rsidRDefault="00521EA4" w:rsidP="00521EA4">
      <w:pPr>
        <w:jc w:val="both"/>
        <w:rPr>
          <w:rFonts w:ascii="Arial" w:hAnsi="Arial" w:cs="Arial"/>
          <w:szCs w:val="24"/>
        </w:rPr>
      </w:pPr>
    </w:p>
    <w:p w:rsidR="00521EA4" w:rsidRPr="00622F0E" w:rsidRDefault="00521EA4" w:rsidP="00521EA4">
      <w:pPr>
        <w:jc w:val="both"/>
        <w:rPr>
          <w:rFonts w:ascii="Arial" w:hAnsi="Arial" w:cs="Arial"/>
          <w:b/>
          <w:szCs w:val="24"/>
          <w:u w:val="single"/>
        </w:rPr>
      </w:pPr>
      <w:r w:rsidRPr="00622F0E">
        <w:rPr>
          <w:rFonts w:ascii="Arial" w:hAnsi="Arial" w:cs="Arial"/>
          <w:b/>
          <w:szCs w:val="24"/>
          <w:u w:val="single"/>
        </w:rPr>
        <w:t>NEXT STEPS</w:t>
      </w:r>
    </w:p>
    <w:p w:rsidR="00521EA4" w:rsidRPr="00622F0E" w:rsidRDefault="00521EA4" w:rsidP="00521EA4">
      <w:pPr>
        <w:jc w:val="both"/>
        <w:rPr>
          <w:rFonts w:ascii="Arial" w:hAnsi="Arial" w:cs="Arial"/>
          <w:b/>
          <w:szCs w:val="24"/>
          <w:u w:val="single"/>
        </w:rPr>
      </w:pPr>
    </w:p>
    <w:p w:rsidR="00521EA4" w:rsidRPr="00622F0E" w:rsidRDefault="00521EA4" w:rsidP="00521EA4">
      <w:pPr>
        <w:pStyle w:val="ListParagraph"/>
        <w:numPr>
          <w:ilvl w:val="0"/>
          <w:numId w:val="1"/>
        </w:numPr>
        <w:jc w:val="both"/>
        <w:rPr>
          <w:rFonts w:ascii="Arial" w:hAnsi="Arial" w:cs="Arial"/>
          <w:szCs w:val="24"/>
        </w:rPr>
      </w:pPr>
      <w:r>
        <w:rPr>
          <w:rFonts w:ascii="Arial" w:hAnsi="Arial" w:cs="Arial"/>
          <w:szCs w:val="24"/>
        </w:rPr>
        <w:t>Continue to accumulate new hedges for FY 2022 as market conditions allow within policy.</w:t>
      </w:r>
    </w:p>
    <w:p w:rsidR="00521EA4" w:rsidRDefault="00521EA4" w:rsidP="00521EA4">
      <w:pPr>
        <w:pStyle w:val="ListParagraph"/>
        <w:numPr>
          <w:ilvl w:val="0"/>
          <w:numId w:val="1"/>
        </w:numPr>
        <w:jc w:val="both"/>
        <w:rPr>
          <w:rFonts w:ascii="Arial" w:hAnsi="Arial" w:cs="Arial"/>
          <w:szCs w:val="24"/>
        </w:rPr>
      </w:pPr>
      <w:r>
        <w:rPr>
          <w:rFonts w:ascii="Arial" w:hAnsi="Arial" w:cs="Arial"/>
          <w:szCs w:val="24"/>
        </w:rPr>
        <w:t>Maintain the size of the hedge in order to protect the City’s petroleum fuels budget against adverse price movements in the petroleum market.</w:t>
      </w:r>
    </w:p>
    <w:p w:rsidR="00C4414E" w:rsidRDefault="00C4414E"/>
    <w:sectPr w:rsidR="00C44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alaLF-Regular">
    <w:altName w:val="Cambria Math"/>
    <w:charset w:val="00"/>
    <w:family w:val="auto"/>
    <w:pitch w:val="variable"/>
    <w:sig w:usb0="00000003" w:usb1="0000004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D5488"/>
    <w:multiLevelType w:val="hybridMultilevel"/>
    <w:tmpl w:val="7D42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F4028C"/>
    <w:multiLevelType w:val="hybridMultilevel"/>
    <w:tmpl w:val="AB50A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A4"/>
    <w:rsid w:val="00521EA4"/>
    <w:rsid w:val="00C4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6EA3D-CD5F-4A36-BAF9-41FB2E66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EA4"/>
    <w:pPr>
      <w:tabs>
        <w:tab w:val="left" w:pos="360"/>
      </w:tabs>
      <w:spacing w:after="0" w:line="240" w:lineRule="auto"/>
    </w:pPr>
    <w:rPr>
      <w:rFonts w:ascii="ScalaLF-Regular" w:eastAsia="Times" w:hAnsi="ScalaLF-Regular" w:cs="Times New Roman"/>
      <w:sz w:val="24"/>
      <w:szCs w:val="20"/>
    </w:rPr>
  </w:style>
  <w:style w:type="paragraph" w:styleId="Heading1">
    <w:name w:val="heading 1"/>
    <w:basedOn w:val="Normal"/>
    <w:next w:val="Normal"/>
    <w:link w:val="Heading1Char"/>
    <w:qFormat/>
    <w:rsid w:val="00521EA4"/>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1EA4"/>
    <w:rPr>
      <w:rFonts w:ascii="ScalaLF-Regular" w:eastAsia="Times" w:hAnsi="ScalaLF-Regular" w:cs="Times New Roman"/>
      <w:b/>
      <w:sz w:val="24"/>
      <w:szCs w:val="20"/>
      <w:u w:val="single"/>
    </w:rPr>
  </w:style>
  <w:style w:type="paragraph" w:styleId="Header">
    <w:name w:val="header"/>
    <w:basedOn w:val="Normal"/>
    <w:link w:val="HeaderChar"/>
    <w:rsid w:val="00521EA4"/>
    <w:pPr>
      <w:tabs>
        <w:tab w:val="center" w:pos="4320"/>
        <w:tab w:val="right" w:pos="8640"/>
      </w:tabs>
    </w:pPr>
  </w:style>
  <w:style w:type="character" w:customStyle="1" w:styleId="HeaderChar">
    <w:name w:val="Header Char"/>
    <w:basedOn w:val="DefaultParagraphFont"/>
    <w:link w:val="Header"/>
    <w:rsid w:val="00521EA4"/>
    <w:rPr>
      <w:rFonts w:ascii="ScalaLF-Regular" w:eastAsia="Times" w:hAnsi="ScalaLF-Regular" w:cs="Times New Roman"/>
      <w:sz w:val="24"/>
      <w:szCs w:val="20"/>
    </w:rPr>
  </w:style>
  <w:style w:type="paragraph" w:styleId="ListParagraph">
    <w:name w:val="List Paragraph"/>
    <w:basedOn w:val="Normal"/>
    <w:uiPriority w:val="34"/>
    <w:qFormat/>
    <w:rsid w:val="00521EA4"/>
    <w:pPr>
      <w:ind w:left="720"/>
      <w:contextualSpacing/>
    </w:pPr>
  </w:style>
  <w:style w:type="table" w:styleId="TableGrid">
    <w:name w:val="Table Grid"/>
    <w:basedOn w:val="TableNormal"/>
    <w:uiPriority w:val="59"/>
    <w:rsid w:val="00521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LeMunyon</dc:creator>
  <cp:keywords/>
  <dc:description/>
  <cp:lastModifiedBy>Jeffrey LeMunyon</cp:lastModifiedBy>
  <cp:revision>1</cp:revision>
  <dcterms:created xsi:type="dcterms:W3CDTF">2021-02-18T22:46:00Z</dcterms:created>
  <dcterms:modified xsi:type="dcterms:W3CDTF">2021-02-18T22:49:00Z</dcterms:modified>
</cp:coreProperties>
</file>